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炮兵侦察用模拟炸点指示器模拟终端 技术规格书</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1" w:type="dxa"/>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drawing>
                <wp:inline distT="0" distB="0" distL="114300" distR="114300">
                  <wp:extent cx="1156335" cy="2421255"/>
                  <wp:effectExtent l="0" t="0" r="5715" b="17145"/>
                  <wp:docPr id="15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30"/>
                          <pic:cNvPicPr>
                            <a:picLocks noChangeAspect="1"/>
                          </pic:cNvPicPr>
                        </pic:nvPicPr>
                        <pic:blipFill>
                          <a:blip r:embed="rId6"/>
                          <a:srcRect l="23196" t="14205" r="18950" b="17769"/>
                          <a:stretch>
                            <a:fillRect/>
                          </a:stretch>
                        </pic:blipFill>
                        <pic:spPr>
                          <a:xfrm>
                            <a:off x="0" y="0"/>
                            <a:ext cx="1156335" cy="2421255"/>
                          </a:xfrm>
                          <a:prstGeom prst="rect">
                            <a:avLst/>
                          </a:prstGeom>
                          <a:noFill/>
                          <a:ln w="9525">
                            <a:noFill/>
                          </a:ln>
                        </pic:spPr>
                      </pic:pic>
                    </a:graphicData>
                  </a:graphic>
                </wp:inline>
              </w:drawing>
            </w:r>
          </w:p>
        </w:tc>
        <w:tc>
          <w:tcPr>
            <w:tcW w:w="4261" w:type="dxa"/>
            <w:vAlign w:val="center"/>
          </w:tcPr>
          <w:p>
            <w:p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highlight w:val="none"/>
                <w:vertAlign w:val="baseline"/>
                <w:lang w:val="en-US" w:eastAsia="zh-CN"/>
              </w:rPr>
              <w:drawing>
                <wp:inline distT="0" distB="0" distL="114300" distR="114300">
                  <wp:extent cx="1413510" cy="2357755"/>
                  <wp:effectExtent l="0" t="0" r="0" b="4445"/>
                  <wp:docPr id="148" name="图片 14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图片1"/>
                          <pic:cNvPicPr>
                            <a:picLocks noChangeAspect="1"/>
                          </pic:cNvPicPr>
                        </pic:nvPicPr>
                        <pic:blipFill>
                          <a:blip r:embed="rId7"/>
                          <a:stretch>
                            <a:fillRect/>
                          </a:stretch>
                        </pic:blipFill>
                        <pic:spPr>
                          <a:xfrm>
                            <a:off x="0" y="0"/>
                            <a:ext cx="1413510" cy="2357755"/>
                          </a:xfrm>
                          <a:prstGeom prst="rect">
                            <a:avLst/>
                          </a:prstGeom>
                        </pic:spPr>
                      </pic:pic>
                    </a:graphicData>
                  </a:graphic>
                </wp:inline>
              </w:drawing>
            </w:r>
          </w:p>
        </w:tc>
      </w:tr>
    </w:tbl>
    <w:p>
      <w:pPr>
        <w:pStyle w:val="35"/>
        <w:bidi w:val="0"/>
      </w:pPr>
      <w:r>
        <w:rPr>
          <w:rFonts w:hint="eastAsia"/>
          <w:lang w:val="en-US" w:eastAsia="zh-CN"/>
        </w:rPr>
        <w:t>炮兵侦察用模拟炸点指示器模拟终端</w:t>
      </w:r>
      <w:r>
        <w:t>用途</w:t>
      </w:r>
    </w:p>
    <w:p>
      <w:pPr>
        <w:pStyle w:val="47"/>
        <w:bidi w:val="0"/>
      </w:pPr>
      <w:r>
        <w:rPr>
          <w:rFonts w:hint="eastAsia"/>
        </w:rPr>
        <w:t>组织开展实兵训练演习时，用于与参训人员穿戴的单兵装具绑定，用于模拟炮兵前方观测设备的作战效能和效果。</w:t>
      </w:r>
    </w:p>
    <w:p>
      <w:pPr>
        <w:pStyle w:val="35"/>
        <w:bidi w:val="0"/>
      </w:pPr>
      <w:r>
        <w:rPr>
          <w:rFonts w:hint="eastAsia"/>
          <w:lang w:val="en-US" w:eastAsia="zh-CN"/>
        </w:rPr>
        <w:t>炮兵侦察用模拟炸点指示器模拟终端</w:t>
      </w:r>
      <w:r>
        <w:t>组成</w:t>
      </w:r>
    </w:p>
    <w:p>
      <w:pPr>
        <w:pStyle w:val="47"/>
        <w:bidi w:val="0"/>
        <w:rPr>
          <w:rFonts w:hint="eastAsia"/>
        </w:rPr>
      </w:pPr>
      <w:bookmarkStart w:id="0" w:name="_Toc19102411"/>
      <w:bookmarkStart w:id="1" w:name="_Toc22379507"/>
      <w:r>
        <w:rPr>
          <w:rFonts w:hint="eastAsia"/>
        </w:rPr>
        <w:t>产品由侦察显示设备、携行包等组成，如下图所示：</w:t>
      </w:r>
    </w:p>
    <w:p>
      <w:pPr>
        <w:pStyle w:val="47"/>
        <w:bidi w:val="0"/>
        <w:jc w:val="center"/>
        <w:rPr>
          <w:rFonts w:ascii="Calibri" w:hAnsi="Calibri" w:cs="Calibri"/>
        </w:rPr>
      </w:pPr>
      <w:r>
        <w:rPr>
          <w:rFonts w:ascii="Calibri" w:hAnsi="Calibri"/>
        </w:rPr>
        <w:object>
          <v:shape id="_x0000_i1025" o:spt="75" type="#_x0000_t75" style="height:182.2pt;width:159.0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35"/>
        <w:bidi w:val="0"/>
      </w:pPr>
      <w:r>
        <w:rPr>
          <w:rFonts w:hint="eastAsia"/>
          <w:lang w:val="en-US" w:eastAsia="zh-CN"/>
        </w:rPr>
        <w:t>炮兵侦察用模拟炸点指示器模拟终端功能</w:t>
      </w:r>
    </w:p>
    <w:p>
      <w:pPr>
        <w:pStyle w:val="37"/>
        <w:bidi w:val="0"/>
      </w:pPr>
      <w:bookmarkStart w:id="2" w:name="_Toc19103325"/>
      <w:bookmarkStart w:id="3" w:name="_Toc22381295"/>
      <w:r>
        <w:t>侦察效能模拟</w:t>
      </w:r>
      <w:bookmarkEnd w:id="2"/>
      <w:bookmarkEnd w:id="3"/>
    </w:p>
    <w:p>
      <w:pPr>
        <w:pStyle w:val="40"/>
        <w:numPr>
          <w:ilvl w:val="0"/>
          <w:numId w:val="9"/>
        </w:numPr>
        <w:bidi w:val="0"/>
      </w:pPr>
      <w:r>
        <w:t>能够输入预打击目标的坐标；</w:t>
      </w:r>
    </w:p>
    <w:p>
      <w:pPr>
        <w:pStyle w:val="40"/>
        <w:numPr>
          <w:ilvl w:val="0"/>
          <w:numId w:val="9"/>
        </w:numPr>
        <w:bidi w:val="0"/>
      </w:pPr>
      <w:r>
        <w:t>能够在己方间瞄火炮打击后，观测一定范围内的间瞄落点与预打击目标的方位和距离偏差。</w:t>
      </w:r>
    </w:p>
    <w:p>
      <w:pPr>
        <w:pStyle w:val="37"/>
        <w:bidi w:val="0"/>
        <w:rPr>
          <w:szCs w:val="22"/>
        </w:rPr>
      </w:pPr>
      <w:bookmarkStart w:id="4" w:name="_Toc19103326"/>
      <w:bookmarkStart w:id="5" w:name="_Toc9606570"/>
      <w:bookmarkStart w:id="6" w:name="_Toc22381296"/>
      <w:bookmarkStart w:id="7" w:name="_Toc9604852"/>
      <w:r>
        <w:rPr>
          <w:szCs w:val="22"/>
        </w:rPr>
        <w:t>侦察控制</w:t>
      </w:r>
      <w:bookmarkEnd w:id="4"/>
      <w:bookmarkEnd w:id="5"/>
      <w:bookmarkEnd w:id="6"/>
    </w:p>
    <w:p>
      <w:pPr>
        <w:pStyle w:val="40"/>
        <w:numPr>
          <w:ilvl w:val="0"/>
          <w:numId w:val="10"/>
        </w:numPr>
        <w:bidi w:val="0"/>
      </w:pPr>
      <w:r>
        <w:t>能接收单兵装具发出的控制指令，实现侦察功能的锁定和解锁；</w:t>
      </w:r>
    </w:p>
    <w:p>
      <w:pPr>
        <w:pStyle w:val="40"/>
        <w:numPr>
          <w:ilvl w:val="0"/>
          <w:numId w:val="10"/>
        </w:numPr>
        <w:bidi w:val="0"/>
      </w:pPr>
      <w:r>
        <w:t>能根据与单兵装具无线连接状态，实现侦察功能的锁定和解锁；</w:t>
      </w:r>
    </w:p>
    <w:p>
      <w:pPr>
        <w:pStyle w:val="40"/>
        <w:numPr>
          <w:ilvl w:val="0"/>
          <w:numId w:val="10"/>
        </w:numPr>
        <w:bidi w:val="0"/>
      </w:pPr>
      <w:r>
        <w:t>能根据单兵装具伤亡状态锁定，实现侦察功能的锁定和解锁。</w:t>
      </w:r>
    </w:p>
    <w:p>
      <w:pPr>
        <w:pStyle w:val="37"/>
        <w:bidi w:val="0"/>
        <w:rPr>
          <w:szCs w:val="22"/>
        </w:rPr>
      </w:pPr>
      <w:bookmarkStart w:id="8" w:name="_Toc19103327"/>
      <w:bookmarkStart w:id="9" w:name="_Toc9606572"/>
      <w:bookmarkStart w:id="10" w:name="_Toc22381297"/>
      <w:r>
        <w:rPr>
          <w:szCs w:val="22"/>
        </w:rPr>
        <w:t>告警提示</w:t>
      </w:r>
      <w:bookmarkEnd w:id="8"/>
      <w:bookmarkEnd w:id="9"/>
      <w:bookmarkEnd w:id="10"/>
    </w:p>
    <w:p>
      <w:pPr>
        <w:pStyle w:val="47"/>
        <w:bidi w:val="0"/>
      </w:pPr>
      <w:r>
        <w:t>能采用对人员被命中、电量过低、连接异常</w:t>
      </w:r>
      <w:r>
        <w:rPr>
          <w:rFonts w:hint="eastAsia"/>
          <w:lang w:eastAsia="zh-CN"/>
        </w:rPr>
        <w:t>、</w:t>
      </w:r>
      <w:r>
        <w:rPr>
          <w:rFonts w:hint="eastAsia"/>
        </w:rPr>
        <w:t>设备故障、弹药缺失</w:t>
      </w:r>
      <w:r>
        <w:t>等事件进行告警提示。</w:t>
      </w:r>
      <w:bookmarkStart w:id="35" w:name="_GoBack"/>
      <w:bookmarkEnd w:id="35"/>
    </w:p>
    <w:p>
      <w:pPr>
        <w:pStyle w:val="37"/>
        <w:bidi w:val="0"/>
        <w:rPr>
          <w:szCs w:val="22"/>
        </w:rPr>
      </w:pPr>
      <w:bookmarkStart w:id="11" w:name="_Toc22381298"/>
      <w:bookmarkStart w:id="12" w:name="_Toc19103328"/>
      <w:bookmarkStart w:id="13" w:name="_Toc9606574"/>
      <w:r>
        <w:rPr>
          <w:szCs w:val="22"/>
        </w:rPr>
        <w:t>状态显示</w:t>
      </w:r>
      <w:bookmarkEnd w:id="11"/>
      <w:bookmarkEnd w:id="12"/>
    </w:p>
    <w:p>
      <w:pPr>
        <w:pStyle w:val="47"/>
        <w:bidi w:val="0"/>
      </w:pPr>
      <w:r>
        <w:t>能对自身状态信息进行实时查询和显示，查询显示内容包括以下信息：</w:t>
      </w:r>
    </w:p>
    <w:p>
      <w:pPr>
        <w:pStyle w:val="40"/>
        <w:numPr>
          <w:ilvl w:val="0"/>
          <w:numId w:val="11"/>
        </w:numPr>
        <w:bidi w:val="0"/>
      </w:pPr>
      <w:r>
        <w:t>人员身份信息</w:t>
      </w:r>
    </w:p>
    <w:p>
      <w:pPr>
        <w:pStyle w:val="40"/>
        <w:numPr>
          <w:ilvl w:val="0"/>
          <w:numId w:val="11"/>
        </w:numPr>
        <w:bidi w:val="0"/>
      </w:pPr>
      <w:r>
        <w:t>通信状态（包括当前与单兵装具的无线连接状态等）</w:t>
      </w:r>
    </w:p>
    <w:p>
      <w:pPr>
        <w:pStyle w:val="40"/>
        <w:numPr>
          <w:ilvl w:val="0"/>
          <w:numId w:val="11"/>
        </w:numPr>
        <w:bidi w:val="0"/>
      </w:pPr>
      <w:r>
        <w:t>当前定位状态</w:t>
      </w:r>
    </w:p>
    <w:p>
      <w:pPr>
        <w:pStyle w:val="40"/>
        <w:numPr>
          <w:ilvl w:val="0"/>
          <w:numId w:val="11"/>
        </w:numPr>
        <w:bidi w:val="0"/>
      </w:pPr>
      <w:r>
        <w:t>剩余电量</w:t>
      </w:r>
    </w:p>
    <w:p>
      <w:pPr>
        <w:pStyle w:val="37"/>
        <w:bidi w:val="0"/>
        <w:rPr>
          <w:szCs w:val="22"/>
        </w:rPr>
      </w:pPr>
      <w:bookmarkStart w:id="14" w:name="_Toc22381299"/>
      <w:bookmarkStart w:id="15" w:name="_Toc19103329"/>
      <w:r>
        <w:rPr>
          <w:szCs w:val="22"/>
        </w:rPr>
        <w:t>信息交互</w:t>
      </w:r>
      <w:bookmarkEnd w:id="13"/>
      <w:bookmarkEnd w:id="14"/>
      <w:bookmarkEnd w:id="15"/>
    </w:p>
    <w:p>
      <w:pPr>
        <w:pStyle w:val="40"/>
        <w:numPr>
          <w:ilvl w:val="0"/>
          <w:numId w:val="12"/>
        </w:numPr>
        <w:bidi w:val="0"/>
      </w:pPr>
      <w:r>
        <w:t>能与单兵装具建立无线连接，最大无线通信距离位于1～3m之间；</w:t>
      </w:r>
    </w:p>
    <w:p>
      <w:pPr>
        <w:pStyle w:val="40"/>
        <w:numPr>
          <w:ilvl w:val="0"/>
          <w:numId w:val="12"/>
        </w:numPr>
        <w:bidi w:val="0"/>
      </w:pPr>
      <w:r>
        <w:t>能通过无线方式实时向单兵装具上传侦察结果等信息。</w:t>
      </w:r>
      <w:bookmarkEnd w:id="7"/>
    </w:p>
    <w:p>
      <w:pPr>
        <w:pStyle w:val="37"/>
        <w:bidi w:val="0"/>
        <w:rPr>
          <w:rFonts w:hint="eastAsia"/>
          <w:lang w:val="en-US" w:eastAsia="zh-CN"/>
        </w:rPr>
      </w:pPr>
      <w:r>
        <w:rPr>
          <w:rFonts w:hint="eastAsia"/>
          <w:lang w:val="en-US" w:eastAsia="zh-CN"/>
        </w:rPr>
        <w:t>毁伤模拟</w:t>
      </w:r>
    </w:p>
    <w:p>
      <w:pPr>
        <w:pStyle w:val="40"/>
        <w:numPr>
          <w:ilvl w:val="0"/>
          <w:numId w:val="13"/>
        </w:numPr>
        <w:bidi w:val="0"/>
        <w:rPr>
          <w:rFonts w:hint="eastAsia"/>
          <w:lang w:val="en-US" w:eastAsia="zh-CN"/>
        </w:rPr>
      </w:pPr>
      <w:r>
        <w:rPr>
          <w:rFonts w:hint="eastAsia"/>
          <w:lang w:val="en-US" w:eastAsia="zh-CN"/>
        </w:rPr>
        <w:t>产品能模拟武器被各类直瞄、间瞄和地爆等有效武器打击后的杀伤效果，模拟毁伤输出包括受损和全毁；</w:t>
      </w:r>
    </w:p>
    <w:p>
      <w:pPr>
        <w:pStyle w:val="40"/>
        <w:numPr>
          <w:ilvl w:val="0"/>
          <w:numId w:val="13"/>
        </w:numPr>
        <w:bidi w:val="0"/>
        <w:rPr>
          <w:rFonts w:hint="eastAsia"/>
          <w:lang w:val="en-US" w:eastAsia="zh-CN"/>
        </w:rPr>
      </w:pPr>
      <w:r>
        <w:rPr>
          <w:rFonts w:hint="eastAsia"/>
          <w:lang w:val="en-US" w:eastAsia="zh-CN"/>
        </w:rPr>
        <w:t>产品具备水平360°，垂直±45°的激光接收能力；</w:t>
      </w:r>
    </w:p>
    <w:p>
      <w:pPr>
        <w:pStyle w:val="40"/>
        <w:numPr>
          <w:ilvl w:val="0"/>
          <w:numId w:val="13"/>
        </w:numPr>
        <w:bidi w:val="0"/>
        <w:rPr>
          <w:rFonts w:hint="eastAsia"/>
          <w:lang w:val="en-US" w:eastAsia="zh-CN"/>
        </w:rPr>
      </w:pPr>
      <w:r>
        <w:rPr>
          <w:rFonts w:hint="eastAsia"/>
          <w:lang w:val="en-US" w:eastAsia="zh-CN"/>
        </w:rPr>
        <w:t>产品激光接收器在接收到有效数据4字节的数据帧时，解码时间10ms；</w:t>
      </w:r>
    </w:p>
    <w:p>
      <w:pPr>
        <w:pStyle w:val="40"/>
        <w:numPr>
          <w:ilvl w:val="0"/>
          <w:numId w:val="13"/>
        </w:numPr>
        <w:bidi w:val="0"/>
        <w:rPr>
          <w:rFonts w:hint="eastAsia"/>
          <w:lang w:val="en-US" w:eastAsia="zh-CN"/>
        </w:rPr>
      </w:pPr>
      <w:r>
        <w:rPr>
          <w:rFonts w:hint="eastAsia"/>
          <w:lang w:val="en-US" w:eastAsia="zh-CN"/>
        </w:rPr>
        <w:t>在频率1KHz，脉宽2us的噪声干扰背景下，产品激光接收解码成功率99%；</w:t>
      </w:r>
    </w:p>
    <w:p>
      <w:pPr>
        <w:pStyle w:val="40"/>
        <w:numPr>
          <w:ilvl w:val="0"/>
          <w:numId w:val="13"/>
        </w:numPr>
        <w:bidi w:val="0"/>
        <w:rPr>
          <w:rFonts w:hint="eastAsia"/>
          <w:lang w:val="en-US" w:eastAsia="zh-CN"/>
        </w:rPr>
      </w:pPr>
      <w:r>
        <w:rPr>
          <w:rFonts w:hint="eastAsia"/>
          <w:lang w:val="en-US" w:eastAsia="zh-CN"/>
        </w:rPr>
        <w:t>产品提供软件升级外部接口，满足毁伤模型快速更新要求。</w:t>
      </w:r>
    </w:p>
    <w:p>
      <w:pPr>
        <w:pStyle w:val="37"/>
        <w:bidi w:val="0"/>
        <w:rPr>
          <w:rFonts w:hint="eastAsia"/>
          <w:lang w:val="en-US" w:eastAsia="zh-CN"/>
        </w:rPr>
      </w:pPr>
      <w:r>
        <w:rPr>
          <w:rFonts w:hint="eastAsia"/>
          <w:lang w:val="en-US" w:eastAsia="zh-CN"/>
        </w:rPr>
        <w:t>昼夜模式切换</w:t>
      </w:r>
    </w:p>
    <w:p>
      <w:pPr>
        <w:pStyle w:val="40"/>
        <w:numPr>
          <w:ilvl w:val="0"/>
          <w:numId w:val="14"/>
        </w:numPr>
        <w:bidi w:val="0"/>
      </w:pPr>
      <w:r>
        <w:rPr>
          <w:rFonts w:hint="eastAsia"/>
          <w:lang w:val="en-US" w:eastAsia="zh-CN"/>
        </w:rPr>
        <w:t>产品能响应远程或现地模式切换指令，自动完成昼夜模式切换；</w:t>
      </w:r>
    </w:p>
    <w:p>
      <w:pPr>
        <w:pStyle w:val="40"/>
        <w:numPr>
          <w:ilvl w:val="0"/>
          <w:numId w:val="14"/>
        </w:numPr>
        <w:bidi w:val="0"/>
      </w:pPr>
      <w:r>
        <w:rPr>
          <w:rFonts w:hint="eastAsia"/>
          <w:lang w:val="en-US" w:eastAsia="zh-CN"/>
        </w:rPr>
        <w:t>产品进入夜间模式时，能自动调低相关状态指示灯亮度。</w:t>
      </w:r>
    </w:p>
    <w:p>
      <w:pPr>
        <w:pStyle w:val="37"/>
        <w:bidi w:val="0"/>
        <w:rPr>
          <w:rFonts w:hint="eastAsia"/>
          <w:lang w:val="en-US" w:eastAsia="zh-CN"/>
        </w:rPr>
      </w:pPr>
      <w:r>
        <w:rPr>
          <w:rFonts w:hint="eastAsia"/>
          <w:lang w:val="en-US" w:eastAsia="zh-CN"/>
        </w:rPr>
        <w:t>工作状态类型</w:t>
      </w:r>
    </w:p>
    <w:p>
      <w:pPr>
        <w:pStyle w:val="47"/>
        <w:bidi w:val="0"/>
      </w:pPr>
      <w:r>
        <w:rPr>
          <w:rFonts w:hint="eastAsia"/>
          <w:lang w:val="en-US" w:eastAsia="zh-CN"/>
        </w:rPr>
        <w:t>产品包含训练状态与演习状态。</w:t>
      </w:r>
    </w:p>
    <w:p>
      <w:pPr>
        <w:pStyle w:val="37"/>
        <w:bidi w:val="0"/>
        <w:rPr>
          <w:rFonts w:hint="eastAsia"/>
          <w:lang w:val="en-US" w:eastAsia="zh-CN"/>
        </w:rPr>
      </w:pPr>
      <w:r>
        <w:rPr>
          <w:rFonts w:hint="eastAsia"/>
          <w:lang w:val="en-US" w:eastAsia="zh-CN"/>
        </w:rPr>
        <w:t>辅助管理</w:t>
      </w:r>
    </w:p>
    <w:p>
      <w:pPr>
        <w:pStyle w:val="40"/>
        <w:numPr>
          <w:ilvl w:val="0"/>
          <w:numId w:val="15"/>
        </w:numPr>
        <w:bidi w:val="0"/>
      </w:pPr>
      <w:r>
        <w:rPr>
          <w:rFonts w:hint="eastAsia"/>
          <w:lang w:val="en-US" w:eastAsia="zh-CN"/>
        </w:rPr>
        <w:t>产品配置用于器材管理的无源RFID电子标签，标签内预置产品名称、产品编号、生产单位代字、所属单位代字等基本信息，标签类型和工作频率等参数与配套的器材信息化管理系统读写设备相一致；</w:t>
      </w:r>
    </w:p>
    <w:p>
      <w:pPr>
        <w:pStyle w:val="40"/>
        <w:numPr>
          <w:ilvl w:val="0"/>
          <w:numId w:val="15"/>
        </w:numPr>
        <w:bidi w:val="0"/>
        <w:rPr>
          <w:rFonts w:hint="eastAsia"/>
          <w:lang w:val="en-US" w:eastAsia="zh-CN"/>
        </w:rPr>
      </w:pPr>
      <w:r>
        <w:rPr>
          <w:rFonts w:hint="eastAsia"/>
          <w:lang w:val="en-US" w:eastAsia="zh-CN"/>
        </w:rPr>
        <w:t>产品在包装状态下通过配套的器材信息化管理系统出入库时，系统能读取RFID储存的相关信息。</w:t>
      </w:r>
    </w:p>
    <w:p>
      <w:pPr>
        <w:pStyle w:val="35"/>
        <w:bidi w:val="0"/>
      </w:pPr>
      <w:bookmarkStart w:id="16" w:name="_Toc19103330"/>
      <w:bookmarkStart w:id="17" w:name="_Toc22381300"/>
      <w:r>
        <w:t>接口</w:t>
      </w:r>
      <w:bookmarkEnd w:id="16"/>
      <w:bookmarkEnd w:id="17"/>
    </w:p>
    <w:p>
      <w:pPr>
        <w:pStyle w:val="47"/>
        <w:bidi w:val="0"/>
      </w:pPr>
      <w:r>
        <w:t>无。</w:t>
      </w:r>
    </w:p>
    <w:p>
      <w:pPr>
        <w:pStyle w:val="35"/>
        <w:bidi w:val="0"/>
      </w:pPr>
      <w:bookmarkStart w:id="18" w:name="_Toc19103331"/>
      <w:bookmarkStart w:id="19" w:name="_Toc22381301"/>
      <w:r>
        <w:t>数据存储</w:t>
      </w:r>
      <w:bookmarkEnd w:id="18"/>
      <w:bookmarkEnd w:id="19"/>
    </w:p>
    <w:p>
      <w:pPr>
        <w:pStyle w:val="40"/>
        <w:numPr>
          <w:ilvl w:val="0"/>
          <w:numId w:val="16"/>
        </w:numPr>
        <w:bidi w:val="0"/>
      </w:pPr>
      <w:r>
        <w:t>具备50条交战事件自动存储能力，存储信息在产品掉电后不丢失，通信恢复后可自主上传；</w:t>
      </w:r>
    </w:p>
    <w:p>
      <w:pPr>
        <w:pStyle w:val="40"/>
        <w:numPr>
          <w:ilvl w:val="0"/>
          <w:numId w:val="16"/>
        </w:numPr>
        <w:bidi w:val="0"/>
      </w:pPr>
      <w:r>
        <w:t>能实时显示当前未完成上传事件数量。</w:t>
      </w:r>
    </w:p>
    <w:bookmarkEnd w:id="0"/>
    <w:bookmarkEnd w:id="1"/>
    <w:p>
      <w:pPr>
        <w:pStyle w:val="35"/>
        <w:bidi w:val="0"/>
      </w:pPr>
      <w:bookmarkStart w:id="20" w:name="_Toc19102415"/>
      <w:bookmarkStart w:id="21" w:name="_Toc22379511"/>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17"/>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17"/>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17"/>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17"/>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17"/>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17"/>
        </w:numPr>
        <w:bidi w:val="0"/>
      </w:pPr>
      <w:r>
        <w:t>具有开机自检功能，检测内容包括火工品安装检测、定位状态检测等</w:t>
      </w:r>
    </w:p>
    <w:p>
      <w:pPr>
        <w:numPr>
          <w:ilvl w:val="0"/>
          <w:numId w:val="17"/>
        </w:numPr>
        <w:bidi w:val="0"/>
        <w:ind w:left="420" w:leftChars="0" w:hanging="420" w:firstLineChars="0"/>
      </w:pPr>
      <w:r>
        <w:rPr>
          <w:rFonts w:hint="eastAsia"/>
        </w:rPr>
        <w:t>产品能根据故障检测设备的测试指令自动完成故障定位输出，虚警率2%；</w:t>
      </w:r>
    </w:p>
    <w:p>
      <w:pPr>
        <w:numPr>
          <w:ilvl w:val="0"/>
          <w:numId w:val="17"/>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17"/>
        </w:numPr>
        <w:bidi w:val="0"/>
        <w:ind w:left="420" w:leftChars="0" w:hanging="420" w:firstLineChars="0"/>
      </w:pPr>
      <w:r>
        <w:rPr>
          <w:rFonts w:hint="eastAsia"/>
        </w:rPr>
        <w:t>产品具有激光安全专用标识，标识内容与格式应符合《GB  7247.1-2012/激光产品的安全/第1 部分设备分类、要求》中第 5 部分“标记”相关要求,产品激光发射口有明显安全标识；</w:t>
      </w:r>
    </w:p>
    <w:p>
      <w:pPr>
        <w:numPr>
          <w:ilvl w:val="0"/>
          <w:numId w:val="17"/>
        </w:numPr>
        <w:bidi w:val="0"/>
        <w:ind w:left="420" w:leftChars="0" w:hanging="420" w:firstLineChars="0"/>
      </w:pPr>
      <w:r>
        <w:rPr>
          <w:rFonts w:hint="eastAsia"/>
        </w:rPr>
        <w:t>产品符合相应人眼危害距离要求；</w:t>
      </w:r>
    </w:p>
    <w:p>
      <w:pPr>
        <w:numPr>
          <w:ilvl w:val="0"/>
          <w:numId w:val="17"/>
        </w:numPr>
        <w:bidi w:val="0"/>
        <w:ind w:left="420" w:leftChars="0" w:hanging="420" w:firstLineChars="0"/>
      </w:pPr>
      <w:r>
        <w:rPr>
          <w:rFonts w:hint="eastAsia"/>
        </w:rPr>
        <w:t>产品火工品安装处有安全警示标志和操作规程；</w:t>
      </w:r>
    </w:p>
    <w:p>
      <w:pPr>
        <w:numPr>
          <w:ilvl w:val="0"/>
          <w:numId w:val="17"/>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17"/>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17"/>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17"/>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17"/>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7"/>
        <w:bidi w:val="0"/>
      </w:pPr>
      <w:r>
        <w:rPr>
          <w:rFonts w:hint="eastAsia"/>
        </w:rPr>
        <w:t>产品满足：产品在-20℃环境温度下连续工作4小时，工作期间产品功能正常。</w:t>
      </w:r>
    </w:p>
    <w:p>
      <w:pPr>
        <w:pStyle w:val="38"/>
        <w:bidi w:val="0"/>
      </w:pPr>
      <w:r>
        <w:rPr>
          <w:rFonts w:hint="eastAsia"/>
        </w:rPr>
        <w:t>低温贮存</w:t>
      </w:r>
    </w:p>
    <w:p>
      <w:pPr>
        <w:pStyle w:val="47"/>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7"/>
        <w:bidi w:val="0"/>
      </w:pPr>
      <w:r>
        <w:rPr>
          <w:rFonts w:hint="eastAsia"/>
        </w:rPr>
        <w:t>产品在60℃环境温度下连续工作4小时，工作期间产品功能正常。</w:t>
      </w:r>
    </w:p>
    <w:p>
      <w:pPr>
        <w:pStyle w:val="38"/>
        <w:bidi w:val="0"/>
      </w:pPr>
      <w:r>
        <w:rPr>
          <w:rFonts w:hint="eastAsia"/>
        </w:rPr>
        <w:t>高温贮存</w:t>
      </w:r>
    </w:p>
    <w:p>
      <w:pPr>
        <w:pStyle w:val="47"/>
        <w:bidi w:val="0"/>
      </w:pPr>
      <w:r>
        <w:rPr>
          <w:rFonts w:hint="eastAsia"/>
        </w:rPr>
        <w:t>产品在70℃环境温度下连续贮存12小时后再将产品置于正常环境条件下，达到温度稳定后，产品的功能正常。</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bookmarkEnd w:id="20"/>
    <w:bookmarkEnd w:id="21"/>
    <w:p>
      <w:pPr>
        <w:pStyle w:val="35"/>
        <w:bidi w:val="0"/>
      </w:pPr>
      <w:bookmarkStart w:id="22" w:name="_Toc20344090"/>
      <w:bookmarkStart w:id="23" w:name="_Toc20238393"/>
      <w:bookmarkStart w:id="24" w:name="_Toc22376455"/>
      <w:bookmarkStart w:id="25" w:name="_Toc22379525"/>
      <w:bookmarkStart w:id="26" w:name="_Toc19102429"/>
      <w:bookmarkStart w:id="27" w:name="_Toc8916849"/>
      <w:r>
        <w:rPr>
          <w:rFonts w:hint="eastAsia"/>
        </w:rPr>
        <w:t>扩展性</w:t>
      </w:r>
      <w:bookmarkEnd w:id="22"/>
      <w:bookmarkEnd w:id="23"/>
      <w:bookmarkEnd w:id="24"/>
    </w:p>
    <w:p>
      <w:pPr>
        <w:pStyle w:val="40"/>
        <w:bidi w:val="0"/>
        <w:ind w:firstLine="560" w:firstLineChars="200"/>
      </w:pPr>
      <w:r>
        <w:rPr>
          <w:rFonts w:hint="eastAsia"/>
        </w:rPr>
        <w:t>具有匹配满足技术标准的新增单兵装备模拟器材的拓展能力。</w:t>
      </w:r>
    </w:p>
    <w:p>
      <w:pPr>
        <w:pStyle w:val="35"/>
        <w:bidi w:val="0"/>
      </w:pPr>
      <w:r>
        <w:t>电磁兼容性要求</w:t>
      </w:r>
      <w:bookmarkEnd w:id="25"/>
      <w:bookmarkEnd w:id="26"/>
      <w:bookmarkEnd w:id="27"/>
    </w:p>
    <w:p>
      <w:pPr>
        <w:pStyle w:val="47"/>
        <w:bidi w:val="0"/>
      </w:pPr>
      <w:r>
        <w:rPr>
          <w:rFonts w:hint="eastAsia"/>
          <w:lang w:eastAsia="zh-CN"/>
        </w:rPr>
        <w:t>发射机</w:t>
      </w:r>
      <w:r>
        <w:t>满足GJB151B-2013《军用设备和分系统电磁发射和敏感度要求与测量》中对陆军地面设备的以下测试条款限值要求（含剪裁要求）：</w:t>
      </w:r>
    </w:p>
    <w:p>
      <w:pPr>
        <w:pStyle w:val="40"/>
        <w:numPr>
          <w:ilvl w:val="0"/>
          <w:numId w:val="18"/>
        </w:numPr>
        <w:bidi w:val="0"/>
      </w:pPr>
      <w:r>
        <w:t>RS103电场辐射敏感度（10kHz～40GHz）：10V/m；</w:t>
      </w:r>
    </w:p>
    <w:p>
      <w:pPr>
        <w:pStyle w:val="40"/>
        <w:numPr>
          <w:ilvl w:val="0"/>
          <w:numId w:val="18"/>
        </w:numPr>
        <w:bidi w:val="0"/>
      </w:pPr>
      <w:r>
        <w:t>CS114电缆束注入传导敏感度（4kHz～400MHz）：曲线二；</w:t>
      </w:r>
    </w:p>
    <w:p>
      <w:pPr>
        <w:pStyle w:val="40"/>
        <w:numPr>
          <w:ilvl w:val="0"/>
          <w:numId w:val="18"/>
        </w:numPr>
        <w:bidi w:val="0"/>
      </w:pPr>
      <w:r>
        <w:t>CS115电缆束注入脉冲激励传导敏感度：5A；</w:t>
      </w:r>
    </w:p>
    <w:p>
      <w:pPr>
        <w:pStyle w:val="40"/>
        <w:numPr>
          <w:ilvl w:val="0"/>
          <w:numId w:val="18"/>
        </w:numPr>
        <w:bidi w:val="0"/>
      </w:pPr>
      <w:r>
        <w:t>CS116电缆和电源线阻尼正弦瞬态传导敏感度（10kHz～100MHz）：标准限值；</w:t>
      </w:r>
    </w:p>
    <w:p>
      <w:pPr>
        <w:pStyle w:val="40"/>
        <w:numPr>
          <w:ilvl w:val="0"/>
          <w:numId w:val="18"/>
        </w:numPr>
        <w:bidi w:val="0"/>
      </w:pPr>
      <w:r>
        <w:t>RE102电场辐射发射（10kHz～18GHz）：标准限值+20dB。</w:t>
      </w:r>
    </w:p>
    <w:p>
      <w:pPr>
        <w:pStyle w:val="35"/>
        <w:bidi w:val="0"/>
      </w:pPr>
      <w:bookmarkStart w:id="28" w:name="_Toc20341456"/>
      <w:bookmarkStart w:id="29" w:name="_Toc22376172"/>
      <w:bookmarkStart w:id="30" w:name="_Toc8723475"/>
      <w:r>
        <w:t>供电</w:t>
      </w:r>
      <w:bookmarkEnd w:id="28"/>
      <w:bookmarkEnd w:id="29"/>
      <w:bookmarkEnd w:id="30"/>
    </w:p>
    <w:p>
      <w:pPr>
        <w:pStyle w:val="40"/>
        <w:numPr>
          <w:ilvl w:val="0"/>
          <w:numId w:val="19"/>
        </w:numPr>
        <w:bidi w:val="0"/>
      </w:pPr>
      <w:bookmarkStart w:id="31" w:name="_Toc22376173"/>
      <w:bookmarkStart w:id="32" w:name="_Toc20341457"/>
      <w:r>
        <w:t>采用锂电池供电，规格参数符合GJB916B-2011《军用锂电池产品规范》的要求；</w:t>
      </w:r>
    </w:p>
    <w:p>
      <w:pPr>
        <w:pStyle w:val="40"/>
        <w:numPr>
          <w:ilvl w:val="0"/>
          <w:numId w:val="19"/>
        </w:numPr>
        <w:bidi w:val="0"/>
      </w:pPr>
      <w:r>
        <w:t>电池容量满足连续工作时间</w:t>
      </w:r>
      <w:r>
        <w:rPr>
          <w:rFonts w:hint="eastAsia"/>
          <w:lang w:eastAsia="zh-CN"/>
        </w:rPr>
        <w:t>：</w:t>
      </w:r>
      <w:r>
        <w:t>12h（单组电池）要求；</w:t>
      </w:r>
    </w:p>
    <w:p>
      <w:pPr>
        <w:pStyle w:val="40"/>
        <w:numPr>
          <w:ilvl w:val="0"/>
          <w:numId w:val="19"/>
        </w:numPr>
        <w:bidi w:val="0"/>
      </w:pPr>
      <w:r>
        <w:t>单组电池充电时间：6h；</w:t>
      </w:r>
    </w:p>
    <w:p>
      <w:pPr>
        <w:pStyle w:val="40"/>
        <w:numPr>
          <w:ilvl w:val="0"/>
          <w:numId w:val="19"/>
        </w:numPr>
        <w:bidi w:val="0"/>
      </w:pPr>
      <w:r>
        <w:t>产品提供1组备用电池，电池更换时间</w:t>
      </w:r>
      <w:r>
        <w:rPr>
          <w:rFonts w:hint="eastAsia"/>
          <w:lang w:eastAsia="zh-CN"/>
        </w:rPr>
        <w:t>：</w:t>
      </w:r>
      <w:r>
        <w:t>1min。</w:t>
      </w:r>
    </w:p>
    <w:p>
      <w:pPr>
        <w:pStyle w:val="35"/>
        <w:bidi w:val="0"/>
      </w:pPr>
      <w:r>
        <w:t>安装使用</w:t>
      </w:r>
      <w:bookmarkEnd w:id="31"/>
      <w:bookmarkEnd w:id="32"/>
    </w:p>
    <w:p>
      <w:pPr>
        <w:pStyle w:val="40"/>
        <w:numPr>
          <w:ilvl w:val="0"/>
          <w:numId w:val="20"/>
        </w:numPr>
        <w:bidi w:val="0"/>
      </w:pPr>
      <w:bookmarkStart w:id="33" w:name="_Toc22379534"/>
      <w:bookmarkStart w:id="34" w:name="_Toc19102438"/>
      <w:r>
        <w:t>产品侦察显示设备为手持设备，方便进行参数编辑；</w:t>
      </w:r>
    </w:p>
    <w:p>
      <w:pPr>
        <w:pStyle w:val="40"/>
        <w:numPr>
          <w:ilvl w:val="0"/>
          <w:numId w:val="20"/>
        </w:numPr>
        <w:bidi w:val="0"/>
      </w:pPr>
      <w:r>
        <w:t>产品配备携行包，方便野外携带；</w:t>
      </w:r>
    </w:p>
    <w:p>
      <w:pPr>
        <w:pStyle w:val="40"/>
        <w:numPr>
          <w:ilvl w:val="0"/>
          <w:numId w:val="20"/>
        </w:numPr>
        <w:bidi w:val="0"/>
      </w:pPr>
      <w:r>
        <w:t>产品开机自动与单兵装具进行无线连接。</w:t>
      </w:r>
    </w:p>
    <w:p>
      <w:pPr>
        <w:pStyle w:val="35"/>
        <w:bidi w:val="0"/>
      </w:pPr>
      <w:r>
        <w:t>成套性</w:t>
      </w:r>
      <w:bookmarkEnd w:id="33"/>
      <w:bookmarkEnd w:id="34"/>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1"/>
        <w:gridCol w:w="2019"/>
        <w:gridCol w:w="810"/>
        <w:gridCol w:w="951"/>
        <w:gridCol w:w="4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top w:val="single" w:color="000000" w:sz="12" w:space="0"/>
              <w:left w:val="single" w:color="000000" w:sz="12" w:space="0"/>
              <w:bottom w:val="single" w:color="000000" w:sz="12" w:space="0"/>
            </w:tcBorders>
            <w:shd w:val="clear" w:color="auto" w:fill="auto"/>
          </w:tcPr>
          <w:p>
            <w:pPr>
              <w:pStyle w:val="58"/>
              <w:spacing w:line="310" w:lineRule="exact"/>
              <w:ind w:right="-105" w:firstLine="0" w:firstLineChars="0"/>
              <w:jc w:val="center"/>
              <w:rPr>
                <w:rFonts w:ascii="Calibri" w:hAnsi="Calibri"/>
                <w:b/>
                <w:sz w:val="18"/>
                <w:szCs w:val="18"/>
              </w:rPr>
            </w:pPr>
            <w:r>
              <w:rPr>
                <w:rFonts w:ascii="Calibri" w:hAnsi="Calibri"/>
                <w:b/>
                <w:bCs/>
                <w:sz w:val="18"/>
                <w:szCs w:val="18"/>
              </w:rPr>
              <w:t>序号</w:t>
            </w:r>
          </w:p>
        </w:tc>
        <w:tc>
          <w:tcPr>
            <w:tcW w:w="2083" w:type="dxa"/>
            <w:tcBorders>
              <w:top w:val="single" w:color="000000" w:sz="12" w:space="0"/>
              <w:bottom w:val="single" w:color="000000" w:sz="12" w:space="0"/>
            </w:tcBorders>
            <w:shd w:val="clear" w:color="auto" w:fill="auto"/>
          </w:tcPr>
          <w:p>
            <w:pPr>
              <w:pStyle w:val="58"/>
              <w:spacing w:line="310" w:lineRule="exact"/>
              <w:ind w:right="-105" w:firstLine="0" w:firstLineChars="0"/>
              <w:jc w:val="center"/>
              <w:rPr>
                <w:rFonts w:ascii="Calibri" w:hAnsi="Calibri"/>
                <w:b/>
                <w:sz w:val="18"/>
                <w:szCs w:val="18"/>
              </w:rPr>
            </w:pPr>
            <w:r>
              <w:rPr>
                <w:rFonts w:ascii="Calibri" w:hAnsi="Calibri"/>
                <w:b/>
                <w:bCs/>
                <w:sz w:val="18"/>
                <w:szCs w:val="18"/>
              </w:rPr>
              <w:t>部件</w:t>
            </w:r>
          </w:p>
        </w:tc>
        <w:tc>
          <w:tcPr>
            <w:tcW w:w="834" w:type="dxa"/>
            <w:tcBorders>
              <w:top w:val="single" w:color="000000" w:sz="12" w:space="0"/>
              <w:bottom w:val="single" w:color="000000" w:sz="12" w:space="0"/>
            </w:tcBorders>
            <w:shd w:val="clear" w:color="auto" w:fill="auto"/>
          </w:tcPr>
          <w:p>
            <w:pPr>
              <w:pStyle w:val="58"/>
              <w:spacing w:line="310" w:lineRule="exact"/>
              <w:ind w:right="-105" w:firstLine="0" w:firstLineChars="0"/>
              <w:jc w:val="center"/>
              <w:rPr>
                <w:rFonts w:ascii="Calibri" w:hAnsi="Calibri"/>
                <w:b/>
                <w:sz w:val="18"/>
                <w:szCs w:val="18"/>
              </w:rPr>
            </w:pPr>
            <w:r>
              <w:rPr>
                <w:rFonts w:ascii="Calibri" w:hAnsi="Calibri"/>
                <w:b/>
                <w:bCs/>
                <w:sz w:val="18"/>
                <w:szCs w:val="18"/>
              </w:rPr>
              <w:t>数量</w:t>
            </w:r>
          </w:p>
        </w:tc>
        <w:tc>
          <w:tcPr>
            <w:tcW w:w="976" w:type="dxa"/>
            <w:tcBorders>
              <w:top w:val="single" w:color="000000" w:sz="12" w:space="0"/>
              <w:bottom w:val="single" w:color="000000" w:sz="12" w:space="0"/>
            </w:tcBorders>
            <w:shd w:val="clear" w:color="auto" w:fill="auto"/>
          </w:tcPr>
          <w:p>
            <w:pPr>
              <w:pStyle w:val="58"/>
              <w:spacing w:line="310" w:lineRule="exact"/>
              <w:ind w:right="-105" w:firstLine="0" w:firstLineChars="0"/>
              <w:jc w:val="center"/>
              <w:rPr>
                <w:rFonts w:ascii="Calibri" w:hAnsi="Calibri"/>
                <w:b/>
                <w:sz w:val="18"/>
                <w:szCs w:val="18"/>
              </w:rPr>
            </w:pPr>
            <w:r>
              <w:rPr>
                <w:rFonts w:ascii="Calibri" w:hAnsi="Calibri"/>
                <w:b/>
                <w:bCs/>
                <w:sz w:val="18"/>
                <w:szCs w:val="18"/>
              </w:rPr>
              <w:t>单位</w:t>
            </w:r>
          </w:p>
        </w:tc>
        <w:tc>
          <w:tcPr>
            <w:tcW w:w="4505" w:type="dxa"/>
            <w:tcBorders>
              <w:top w:val="single" w:color="000000" w:sz="12" w:space="0"/>
              <w:bottom w:val="single" w:color="000000" w:sz="12" w:space="0"/>
              <w:right w:val="single" w:color="000000" w:sz="12" w:space="0"/>
            </w:tcBorders>
            <w:shd w:val="clear" w:color="auto" w:fill="auto"/>
          </w:tcPr>
          <w:p>
            <w:pPr>
              <w:pStyle w:val="58"/>
              <w:spacing w:line="310" w:lineRule="exact"/>
              <w:ind w:right="-105" w:firstLine="0" w:firstLineChars="0"/>
              <w:jc w:val="center"/>
              <w:rPr>
                <w:rFonts w:ascii="Calibri" w:hAnsi="Calibri"/>
                <w:b/>
                <w:sz w:val="18"/>
                <w:szCs w:val="18"/>
              </w:rPr>
            </w:pPr>
            <w:r>
              <w:rPr>
                <w:rFonts w:ascii="Calibri" w:hAnsi="Calibri"/>
                <w:b/>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top w:val="single" w:color="000000" w:sz="12" w:space="0"/>
              <w:left w:val="single" w:color="000000" w:sz="12" w:space="0"/>
            </w:tcBorders>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1</w:t>
            </w:r>
          </w:p>
        </w:tc>
        <w:tc>
          <w:tcPr>
            <w:tcW w:w="2083" w:type="dxa"/>
            <w:tcBorders>
              <w:top w:val="single" w:color="000000" w:sz="12" w:space="0"/>
            </w:tcBorders>
            <w:shd w:val="clear" w:color="auto" w:fill="auto"/>
            <w:vAlign w:val="center"/>
          </w:tcPr>
          <w:p>
            <w:pPr>
              <w:pStyle w:val="58"/>
              <w:spacing w:line="310" w:lineRule="exact"/>
              <w:ind w:right="-105" w:firstLine="0" w:firstLineChars="0"/>
              <w:jc w:val="center"/>
              <w:rPr>
                <w:rFonts w:ascii="Calibri" w:hAnsi="Calibri"/>
                <w:sz w:val="18"/>
                <w:szCs w:val="18"/>
              </w:rPr>
            </w:pPr>
            <w:r>
              <w:rPr>
                <w:rFonts w:ascii="Calibri" w:hAnsi="Calibri"/>
                <w:sz w:val="18"/>
                <w:szCs w:val="18"/>
              </w:rPr>
              <w:t>侦察显示设备</w:t>
            </w:r>
          </w:p>
        </w:tc>
        <w:tc>
          <w:tcPr>
            <w:tcW w:w="834" w:type="dxa"/>
            <w:tcBorders>
              <w:top w:val="single" w:color="000000" w:sz="12" w:space="0"/>
            </w:tcBorders>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1</w:t>
            </w:r>
          </w:p>
        </w:tc>
        <w:tc>
          <w:tcPr>
            <w:tcW w:w="976" w:type="dxa"/>
            <w:tcBorders>
              <w:top w:val="single" w:color="000000" w:sz="12" w:space="0"/>
            </w:tcBorders>
            <w:shd w:val="clear" w:color="auto" w:fill="auto"/>
            <w:vAlign w:val="center"/>
          </w:tcPr>
          <w:p>
            <w:pPr>
              <w:snapToGrid w:val="0"/>
              <w:ind w:firstLine="0"/>
              <w:jc w:val="center"/>
              <w:rPr>
                <w:rFonts w:ascii="Calibri" w:hAnsi="Calibri"/>
                <w:sz w:val="18"/>
                <w:szCs w:val="18"/>
              </w:rPr>
            </w:pPr>
            <w:r>
              <w:rPr>
                <w:rFonts w:ascii="Calibri" w:hAnsi="Calibri"/>
                <w:sz w:val="18"/>
                <w:szCs w:val="18"/>
              </w:rPr>
              <w:t>件</w:t>
            </w:r>
          </w:p>
        </w:tc>
        <w:tc>
          <w:tcPr>
            <w:tcW w:w="4505" w:type="dxa"/>
            <w:tcBorders>
              <w:top w:val="single" w:color="000000" w:sz="12" w:space="0"/>
              <w:right w:val="single" w:color="000000" w:sz="12" w:space="0"/>
            </w:tcBorders>
            <w:shd w:val="clear" w:color="auto" w:fill="auto"/>
          </w:tcPr>
          <w:p>
            <w:pPr>
              <w:pStyle w:val="58"/>
              <w:spacing w:line="310" w:lineRule="exact"/>
              <w:ind w:right="-105" w:firstLine="0" w:firstLineChars="0"/>
              <w:rPr>
                <w:rFonts w:ascii="Calibri" w:hAnsi="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2</w:t>
            </w:r>
          </w:p>
        </w:tc>
        <w:tc>
          <w:tcPr>
            <w:tcW w:w="2083" w:type="dxa"/>
            <w:shd w:val="clear" w:color="auto" w:fill="auto"/>
            <w:vAlign w:val="center"/>
          </w:tcPr>
          <w:p>
            <w:pPr>
              <w:pStyle w:val="58"/>
              <w:spacing w:line="310" w:lineRule="exact"/>
              <w:ind w:right="-105" w:firstLine="0" w:firstLineChars="0"/>
              <w:jc w:val="center"/>
              <w:rPr>
                <w:rFonts w:ascii="Calibri" w:hAnsi="Calibri"/>
                <w:sz w:val="18"/>
                <w:szCs w:val="18"/>
              </w:rPr>
            </w:pPr>
            <w:r>
              <w:rPr>
                <w:rFonts w:ascii="Calibri" w:hAnsi="Calibri"/>
                <w:sz w:val="18"/>
                <w:szCs w:val="18"/>
              </w:rPr>
              <w:t>携行包</w:t>
            </w:r>
          </w:p>
        </w:tc>
        <w:tc>
          <w:tcPr>
            <w:tcW w:w="834" w:type="dxa"/>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1</w:t>
            </w:r>
          </w:p>
        </w:tc>
        <w:tc>
          <w:tcPr>
            <w:tcW w:w="976" w:type="dxa"/>
            <w:shd w:val="clear" w:color="auto" w:fill="auto"/>
            <w:vAlign w:val="center"/>
          </w:tcPr>
          <w:p>
            <w:pPr>
              <w:snapToGrid w:val="0"/>
              <w:ind w:firstLine="0"/>
              <w:jc w:val="center"/>
              <w:rPr>
                <w:rFonts w:ascii="Calibri" w:hAnsi="Calibri"/>
                <w:sz w:val="18"/>
                <w:szCs w:val="18"/>
              </w:rPr>
            </w:pPr>
            <w:r>
              <w:rPr>
                <w:rFonts w:ascii="Calibri" w:hAnsi="Calibri"/>
                <w:sz w:val="18"/>
                <w:szCs w:val="18"/>
              </w:rPr>
              <w:t>件</w:t>
            </w:r>
          </w:p>
        </w:tc>
        <w:tc>
          <w:tcPr>
            <w:tcW w:w="4505" w:type="dxa"/>
            <w:tcBorders>
              <w:right w:val="single" w:color="000000" w:sz="12" w:space="0"/>
            </w:tcBorders>
            <w:shd w:val="clear" w:color="auto" w:fill="auto"/>
          </w:tcPr>
          <w:p>
            <w:pPr>
              <w:pStyle w:val="58"/>
              <w:spacing w:line="310" w:lineRule="exact"/>
              <w:ind w:right="-105" w:firstLine="0" w:firstLineChars="0"/>
              <w:rPr>
                <w:rFonts w:ascii="Calibri" w:hAnsi="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bottom w:val="single" w:color="000000" w:sz="12" w:space="0"/>
            </w:tcBorders>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3</w:t>
            </w:r>
          </w:p>
        </w:tc>
        <w:tc>
          <w:tcPr>
            <w:tcW w:w="2083" w:type="dxa"/>
            <w:tcBorders>
              <w:bottom w:val="single" w:color="000000" w:sz="12" w:space="0"/>
            </w:tcBorders>
            <w:shd w:val="clear" w:color="auto" w:fill="auto"/>
            <w:vAlign w:val="center"/>
          </w:tcPr>
          <w:p>
            <w:pPr>
              <w:pStyle w:val="58"/>
              <w:spacing w:line="310" w:lineRule="exact"/>
              <w:ind w:right="-105" w:firstLine="0" w:firstLineChars="0"/>
              <w:jc w:val="center"/>
              <w:rPr>
                <w:rFonts w:ascii="Calibri" w:hAnsi="Calibri"/>
                <w:sz w:val="18"/>
                <w:szCs w:val="18"/>
              </w:rPr>
            </w:pPr>
            <w:r>
              <w:rPr>
                <w:rFonts w:ascii="Calibri" w:hAnsi="Calibri"/>
                <w:sz w:val="18"/>
                <w:szCs w:val="18"/>
              </w:rPr>
              <w:t>产品资料</w:t>
            </w:r>
          </w:p>
        </w:tc>
        <w:tc>
          <w:tcPr>
            <w:tcW w:w="834" w:type="dxa"/>
            <w:tcBorders>
              <w:bottom w:val="single" w:color="000000" w:sz="12" w:space="0"/>
            </w:tcBorders>
            <w:shd w:val="clear" w:color="auto" w:fill="auto"/>
          </w:tcPr>
          <w:p>
            <w:pPr>
              <w:pStyle w:val="58"/>
              <w:spacing w:line="310" w:lineRule="exact"/>
              <w:ind w:right="-105" w:firstLine="0" w:firstLineChars="0"/>
              <w:jc w:val="center"/>
              <w:rPr>
                <w:rFonts w:ascii="Calibri" w:hAnsi="Calibri"/>
                <w:sz w:val="18"/>
                <w:szCs w:val="18"/>
              </w:rPr>
            </w:pPr>
            <w:r>
              <w:rPr>
                <w:rFonts w:ascii="Calibri" w:hAnsi="Calibri"/>
                <w:sz w:val="18"/>
                <w:szCs w:val="18"/>
              </w:rPr>
              <w:t>1</w:t>
            </w:r>
          </w:p>
        </w:tc>
        <w:tc>
          <w:tcPr>
            <w:tcW w:w="976" w:type="dxa"/>
            <w:tcBorders>
              <w:bottom w:val="single" w:color="000000" w:sz="12" w:space="0"/>
            </w:tcBorders>
            <w:shd w:val="clear" w:color="auto" w:fill="auto"/>
            <w:vAlign w:val="center"/>
          </w:tcPr>
          <w:p>
            <w:pPr>
              <w:snapToGrid w:val="0"/>
              <w:ind w:firstLine="0"/>
              <w:jc w:val="center"/>
              <w:rPr>
                <w:rFonts w:ascii="Calibri" w:hAnsi="Calibri"/>
                <w:sz w:val="18"/>
                <w:szCs w:val="18"/>
              </w:rPr>
            </w:pPr>
            <w:r>
              <w:rPr>
                <w:rFonts w:ascii="Calibri" w:hAnsi="Calibri"/>
                <w:sz w:val="18"/>
                <w:szCs w:val="18"/>
              </w:rPr>
              <w:t>套</w:t>
            </w:r>
          </w:p>
        </w:tc>
        <w:tc>
          <w:tcPr>
            <w:tcW w:w="4505" w:type="dxa"/>
            <w:tcBorders>
              <w:bottom w:val="single" w:color="000000" w:sz="12" w:space="0"/>
              <w:right w:val="single" w:color="000000" w:sz="12" w:space="0"/>
            </w:tcBorders>
            <w:shd w:val="clear" w:color="auto" w:fill="auto"/>
          </w:tcPr>
          <w:p>
            <w:pPr>
              <w:pStyle w:val="58"/>
              <w:spacing w:line="310" w:lineRule="exact"/>
              <w:ind w:right="-105" w:firstLine="0" w:firstLineChars="0"/>
              <w:rPr>
                <w:rFonts w:ascii="Calibri" w:hAnsi="Calibri"/>
                <w:sz w:val="18"/>
                <w:szCs w:val="18"/>
              </w:rPr>
            </w:pPr>
            <w:r>
              <w:rPr>
                <w:rFonts w:ascii="Calibri" w:hAnsi="Calibri"/>
                <w:sz w:val="18"/>
                <w:szCs w:val="18"/>
              </w:rPr>
              <w:t>含使用说明书、合格证、装箱清单、履历表</w:t>
            </w:r>
          </w:p>
        </w:tc>
      </w:tr>
    </w:tbl>
    <w:p>
      <w:pPr>
        <w:pStyle w:val="47"/>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0">
      <wne:acd wne:acdName="acd6"/>
    </wne:keymap>
    <wne:keymap wne:kcmPrimary="0627">
      <wne:acd wne:acdName="acd7"/>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 wne:argValue="AgBqAHAAY2uHZeBlKX/bjw==" wne:acdName="acd6" wne:fciIndexBasedOn="0065"/>
    <wne:acd wne:argValue="AgBqAHAAY2uHZSl/248=" wne:acdName="acd7"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2">
    <w:nsid w:val="D6E62FF0"/>
    <w:multiLevelType w:val="singleLevel"/>
    <w:tmpl w:val="D6E62FF0"/>
    <w:lvl w:ilvl="0" w:tentative="0">
      <w:start w:val="1"/>
      <w:numFmt w:val="lowerLetter"/>
      <w:lvlText w:val="%1)"/>
      <w:lvlJc w:val="left"/>
      <w:pPr>
        <w:tabs>
          <w:tab w:val="left" w:pos="800"/>
        </w:tabs>
        <w:ind w:left="800" w:hanging="400"/>
      </w:pPr>
    </w:lvl>
  </w:abstractNum>
  <w:abstractNum w:abstractNumId="3">
    <w:nsid w:val="007A68BA"/>
    <w:multiLevelType w:val="singleLevel"/>
    <w:tmpl w:val="007A68BA"/>
    <w:lvl w:ilvl="0" w:tentative="0">
      <w:start w:val="1"/>
      <w:numFmt w:val="lowerLetter"/>
      <w:lvlText w:val="%1)"/>
      <w:lvlJc w:val="left"/>
      <w:pPr>
        <w:tabs>
          <w:tab w:val="left" w:pos="800"/>
        </w:tabs>
        <w:ind w:left="800" w:hanging="400"/>
      </w:pPr>
      <w:rPr>
        <w:rFonts w:hint="default" w:ascii="Calibri" w:hAnsi="Calibri" w:cs="Calibri"/>
      </w:rPr>
    </w:lvl>
  </w:abstractNum>
  <w:abstractNum w:abstractNumId="4">
    <w:nsid w:val="05814601"/>
    <w:multiLevelType w:val="multilevel"/>
    <w:tmpl w:val="05814601"/>
    <w:lvl w:ilvl="0" w:tentative="0">
      <w:start w:val="1"/>
      <w:numFmt w:val="none"/>
      <w:suff w:val="space"/>
      <w:lvlText w:val="%1"/>
      <w:lvlJc w:val="left"/>
      <w:pPr>
        <w:ind w:left="0" w:firstLine="0"/>
      </w:pPr>
      <w:rPr>
        <w:rFonts w:hint="default" w:ascii="Times New Roman" w:hAnsi="Times New Roman"/>
        <w:b/>
        <w:i w:val="0"/>
        <w:sz w:val="21"/>
      </w:rPr>
    </w:lvl>
    <w:lvl w:ilvl="1" w:tentative="0">
      <w:start w:val="1"/>
      <w:numFmt w:val="decimal"/>
      <w:pStyle w:val="77"/>
      <w:suff w:val="nothing"/>
      <w:lvlText w:val="%1%2　"/>
      <w:lvlJc w:val="left"/>
      <w:pPr>
        <w:ind w:left="0" w:firstLine="0"/>
      </w:pPr>
      <w:rPr>
        <w:rFonts w:hint="eastAsia" w:ascii="黑体" w:hAnsi="Times New Roman" w:eastAsia="黑体"/>
        <w:b w:val="0"/>
        <w:i w:val="0"/>
        <w:sz w:val="21"/>
        <w:szCs w:val="21"/>
      </w:rPr>
    </w:lvl>
    <w:lvl w:ilvl="2" w:tentative="0">
      <w:start w:val="1"/>
      <w:numFmt w:val="decimal"/>
      <w:pStyle w:val="7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tentative="0">
      <w:start w:val="1"/>
      <w:numFmt w:val="decimal"/>
      <w:suff w:val="nothing"/>
      <w:lvlText w:val="%1%2.%3.%4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suff w:val="space"/>
      <w:lvlText w:val="%1.%2.%3.%4.%5.%6.%7.%8　"/>
      <w:lvlJc w:val="left"/>
      <w:pPr>
        <w:ind w:left="0" w:firstLine="0"/>
      </w:pPr>
      <w:rPr>
        <w:rFonts w:hint="eastAsia"/>
      </w:rPr>
    </w:lvl>
    <w:lvl w:ilvl="8" w:tentative="0">
      <w:start w:val="1"/>
      <w:numFmt w:val="decimal"/>
      <w:suff w:val="space"/>
      <w:lvlText w:val="%1.%2.%3.%4.%5.%6.%7.%8.%9　"/>
      <w:lvlJc w:val="left"/>
      <w:pPr>
        <w:ind w:left="0" w:firstLine="0"/>
      </w:pPr>
      <w:rPr>
        <w:rFonts w:hint="eastAsia"/>
      </w:rPr>
    </w:lvl>
  </w:abstractNum>
  <w:abstractNum w:abstractNumId="5">
    <w:nsid w:val="0B310453"/>
    <w:multiLevelType w:val="singleLevel"/>
    <w:tmpl w:val="0B310453"/>
    <w:lvl w:ilvl="0" w:tentative="0">
      <w:start w:val="1"/>
      <w:numFmt w:val="lowerLetter"/>
      <w:lvlText w:val="%1)"/>
      <w:lvlJc w:val="left"/>
      <w:pPr>
        <w:tabs>
          <w:tab w:val="left" w:pos="800"/>
        </w:tabs>
        <w:ind w:left="800" w:hanging="400"/>
      </w:pPr>
    </w:lvl>
  </w:abstractNum>
  <w:abstractNum w:abstractNumId="6">
    <w:nsid w:val="140006B0"/>
    <w:multiLevelType w:val="singleLevel"/>
    <w:tmpl w:val="140006B0"/>
    <w:lvl w:ilvl="0" w:tentative="0">
      <w:start w:val="1"/>
      <w:numFmt w:val="lowerLetter"/>
      <w:lvlText w:val="%1)"/>
      <w:lvlJc w:val="left"/>
      <w:pPr>
        <w:tabs>
          <w:tab w:val="left" w:pos="800"/>
        </w:tabs>
        <w:ind w:left="800" w:hanging="400"/>
      </w:pPr>
    </w:lvl>
  </w:abstractNum>
  <w:abstractNum w:abstractNumId="7">
    <w:nsid w:val="150807FE"/>
    <w:multiLevelType w:val="singleLevel"/>
    <w:tmpl w:val="150807FE"/>
    <w:lvl w:ilvl="0" w:tentative="0">
      <w:start w:val="1"/>
      <w:numFmt w:val="lowerLetter"/>
      <w:lvlText w:val="%1)"/>
      <w:lvlJc w:val="left"/>
      <w:pPr>
        <w:tabs>
          <w:tab w:val="left" w:pos="800"/>
        </w:tabs>
        <w:ind w:left="800" w:hanging="400"/>
      </w:pPr>
    </w:lvl>
  </w:abstractNum>
  <w:abstractNum w:abstractNumId="8">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9">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223BFBFD"/>
    <w:multiLevelType w:val="singleLevel"/>
    <w:tmpl w:val="223BFBFD"/>
    <w:lvl w:ilvl="0" w:tentative="0">
      <w:start w:val="1"/>
      <w:numFmt w:val="lowerLetter"/>
      <w:lvlText w:val="%1)"/>
      <w:lvlJc w:val="left"/>
      <w:pPr>
        <w:tabs>
          <w:tab w:val="left" w:pos="800"/>
        </w:tabs>
        <w:ind w:left="800" w:hanging="400"/>
      </w:pPr>
    </w:lvl>
  </w:abstractNum>
  <w:abstractNum w:abstractNumId="11">
    <w:nsid w:val="25A67A57"/>
    <w:multiLevelType w:val="singleLevel"/>
    <w:tmpl w:val="25A67A57"/>
    <w:lvl w:ilvl="0" w:tentative="0">
      <w:start w:val="1"/>
      <w:numFmt w:val="lowerLetter"/>
      <w:lvlText w:val="%1)"/>
      <w:lvlJc w:val="left"/>
      <w:pPr>
        <w:tabs>
          <w:tab w:val="left" w:pos="800"/>
        </w:tabs>
        <w:ind w:left="800" w:hanging="400"/>
      </w:pPr>
    </w:lvl>
  </w:abstractNum>
  <w:abstractNum w:abstractNumId="12">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13">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14">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2"/>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5">
    <w:nsid w:val="4D6D17FE"/>
    <w:multiLevelType w:val="singleLevel"/>
    <w:tmpl w:val="4D6D17FE"/>
    <w:lvl w:ilvl="0" w:tentative="0">
      <w:start w:val="1"/>
      <w:numFmt w:val="lowerLetter"/>
      <w:lvlText w:val="%1)"/>
      <w:lvlJc w:val="left"/>
      <w:pPr>
        <w:tabs>
          <w:tab w:val="left" w:pos="800"/>
        </w:tabs>
        <w:ind w:left="800" w:hanging="400"/>
      </w:pPr>
    </w:lvl>
  </w:abstractNum>
  <w:abstractNum w:abstractNumId="16">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FB76D8F"/>
    <w:multiLevelType w:val="singleLevel"/>
    <w:tmpl w:val="4FB76D8F"/>
    <w:lvl w:ilvl="0" w:tentative="0">
      <w:start w:val="1"/>
      <w:numFmt w:val="lowerLetter"/>
      <w:lvlText w:val="%1)"/>
      <w:lvlJc w:val="left"/>
      <w:pPr>
        <w:tabs>
          <w:tab w:val="left" w:pos="800"/>
        </w:tabs>
        <w:ind w:left="800" w:hanging="400"/>
      </w:pPr>
    </w:lvl>
  </w:abstractNum>
  <w:abstractNum w:abstractNumId="18">
    <w:nsid w:val="68252847"/>
    <w:multiLevelType w:val="singleLevel"/>
    <w:tmpl w:val="68252847"/>
    <w:lvl w:ilvl="0" w:tentative="0">
      <w:start w:val="1"/>
      <w:numFmt w:val="lowerLetter"/>
      <w:lvlText w:val="%1)"/>
      <w:lvlJc w:val="left"/>
      <w:pPr>
        <w:tabs>
          <w:tab w:val="left" w:pos="800"/>
        </w:tabs>
        <w:ind w:left="800" w:hanging="400"/>
      </w:pPr>
    </w:lvl>
  </w:abstractNum>
  <w:abstractNum w:abstractNumId="19">
    <w:nsid w:val="69DFE904"/>
    <w:multiLevelType w:val="singleLevel"/>
    <w:tmpl w:val="69DFE904"/>
    <w:lvl w:ilvl="0" w:tentative="0">
      <w:start w:val="1"/>
      <w:numFmt w:val="lowerLetter"/>
      <w:lvlText w:val="%1)"/>
      <w:lvlJc w:val="left"/>
      <w:pPr>
        <w:tabs>
          <w:tab w:val="left" w:pos="800"/>
        </w:tabs>
        <w:ind w:left="800" w:hanging="400"/>
      </w:pPr>
    </w:lvl>
  </w:abstractNum>
  <w:num w:numId="1">
    <w:abstractNumId w:val="13"/>
  </w:num>
  <w:num w:numId="2">
    <w:abstractNumId w:val="1"/>
  </w:num>
  <w:num w:numId="3">
    <w:abstractNumId w:val="0"/>
  </w:num>
  <w:num w:numId="4">
    <w:abstractNumId w:val="12"/>
  </w:num>
  <w:num w:numId="5">
    <w:abstractNumId w:val="9"/>
  </w:num>
  <w:num w:numId="6">
    <w:abstractNumId w:val="14"/>
  </w:num>
  <w:num w:numId="7">
    <w:abstractNumId w:val="16"/>
  </w:num>
  <w:num w:numId="8">
    <w:abstractNumId w:val="4"/>
  </w:num>
  <w:num w:numId="9">
    <w:abstractNumId w:val="6"/>
  </w:num>
  <w:num w:numId="10">
    <w:abstractNumId w:val="11"/>
  </w:num>
  <w:num w:numId="11">
    <w:abstractNumId w:val="3"/>
  </w:num>
  <w:num w:numId="12">
    <w:abstractNumId w:val="17"/>
  </w:num>
  <w:num w:numId="13">
    <w:abstractNumId w:val="10"/>
  </w:num>
  <w:num w:numId="14">
    <w:abstractNumId w:val="19"/>
  </w:num>
  <w:num w:numId="15">
    <w:abstractNumId w:val="2"/>
  </w:num>
  <w:num w:numId="16">
    <w:abstractNumId w:val="7"/>
  </w:num>
  <w:num w:numId="17">
    <w:abstractNumId w:val="8"/>
  </w:num>
  <w:num w:numId="18">
    <w:abstractNumId w:val="15"/>
    <w:lvlOverride w:ilvl="0">
      <w:startOverride w:val="1"/>
    </w:lvlOverride>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9B460A"/>
    <w:rsid w:val="04CA5F13"/>
    <w:rsid w:val="057B2792"/>
    <w:rsid w:val="07FB0A26"/>
    <w:rsid w:val="08AD2073"/>
    <w:rsid w:val="090514BA"/>
    <w:rsid w:val="09975BD2"/>
    <w:rsid w:val="0A6D1DCA"/>
    <w:rsid w:val="0ABB46E2"/>
    <w:rsid w:val="0CB36566"/>
    <w:rsid w:val="0D070E08"/>
    <w:rsid w:val="0D2549DE"/>
    <w:rsid w:val="0D7633A7"/>
    <w:rsid w:val="0F915954"/>
    <w:rsid w:val="10416B87"/>
    <w:rsid w:val="11CD2746"/>
    <w:rsid w:val="12F75941"/>
    <w:rsid w:val="13E350F6"/>
    <w:rsid w:val="151C7E35"/>
    <w:rsid w:val="155E541B"/>
    <w:rsid w:val="16564E4B"/>
    <w:rsid w:val="16B33102"/>
    <w:rsid w:val="17B77368"/>
    <w:rsid w:val="17DC0E0B"/>
    <w:rsid w:val="18AB172A"/>
    <w:rsid w:val="19C8321E"/>
    <w:rsid w:val="1AA54D6C"/>
    <w:rsid w:val="1ACD6B3F"/>
    <w:rsid w:val="1AFD3D34"/>
    <w:rsid w:val="1B07030F"/>
    <w:rsid w:val="1B1E4D4B"/>
    <w:rsid w:val="1C0256CB"/>
    <w:rsid w:val="1D281E65"/>
    <w:rsid w:val="1D56022F"/>
    <w:rsid w:val="1DFE2872"/>
    <w:rsid w:val="1E356E8E"/>
    <w:rsid w:val="220B1CEC"/>
    <w:rsid w:val="239C0D78"/>
    <w:rsid w:val="24707020"/>
    <w:rsid w:val="24DA7675"/>
    <w:rsid w:val="25243186"/>
    <w:rsid w:val="2558009C"/>
    <w:rsid w:val="25D965AC"/>
    <w:rsid w:val="2708422B"/>
    <w:rsid w:val="272122E0"/>
    <w:rsid w:val="273C0057"/>
    <w:rsid w:val="2A3F5231"/>
    <w:rsid w:val="2C2836AF"/>
    <w:rsid w:val="2CB93993"/>
    <w:rsid w:val="2E49263F"/>
    <w:rsid w:val="2E847A59"/>
    <w:rsid w:val="2E8E53DD"/>
    <w:rsid w:val="2EE16950"/>
    <w:rsid w:val="2F255FE5"/>
    <w:rsid w:val="30273F6A"/>
    <w:rsid w:val="32E40B7F"/>
    <w:rsid w:val="333F6F36"/>
    <w:rsid w:val="33F345E5"/>
    <w:rsid w:val="341E5AB2"/>
    <w:rsid w:val="342F5D1C"/>
    <w:rsid w:val="345000EC"/>
    <w:rsid w:val="368150FE"/>
    <w:rsid w:val="383B7CB4"/>
    <w:rsid w:val="38440F1A"/>
    <w:rsid w:val="38B75A11"/>
    <w:rsid w:val="390C00F8"/>
    <w:rsid w:val="3A413490"/>
    <w:rsid w:val="3A4C68AE"/>
    <w:rsid w:val="3B0C0DC9"/>
    <w:rsid w:val="3B47680D"/>
    <w:rsid w:val="3BA642E1"/>
    <w:rsid w:val="3E86131C"/>
    <w:rsid w:val="405A5CC5"/>
    <w:rsid w:val="40D90483"/>
    <w:rsid w:val="413D0443"/>
    <w:rsid w:val="418052FE"/>
    <w:rsid w:val="43894962"/>
    <w:rsid w:val="446E1E96"/>
    <w:rsid w:val="469512B9"/>
    <w:rsid w:val="47281DDD"/>
    <w:rsid w:val="47311E73"/>
    <w:rsid w:val="483D73F0"/>
    <w:rsid w:val="483F6756"/>
    <w:rsid w:val="48445BE5"/>
    <w:rsid w:val="4914116B"/>
    <w:rsid w:val="498B36EB"/>
    <w:rsid w:val="49BA7AB6"/>
    <w:rsid w:val="49C97313"/>
    <w:rsid w:val="4BC37020"/>
    <w:rsid w:val="4CDB4835"/>
    <w:rsid w:val="4CE13019"/>
    <w:rsid w:val="4CF255B1"/>
    <w:rsid w:val="4E646699"/>
    <w:rsid w:val="4F560BB2"/>
    <w:rsid w:val="4F9B6B41"/>
    <w:rsid w:val="4FBC6595"/>
    <w:rsid w:val="50A67B5E"/>
    <w:rsid w:val="51087BA5"/>
    <w:rsid w:val="51160E05"/>
    <w:rsid w:val="51F83C04"/>
    <w:rsid w:val="55763CAB"/>
    <w:rsid w:val="570B23E3"/>
    <w:rsid w:val="578935BC"/>
    <w:rsid w:val="57C51296"/>
    <w:rsid w:val="59895A2F"/>
    <w:rsid w:val="59EE322D"/>
    <w:rsid w:val="5AA26459"/>
    <w:rsid w:val="5BAB7B4F"/>
    <w:rsid w:val="5D926DC3"/>
    <w:rsid w:val="5E5623E4"/>
    <w:rsid w:val="5EB46C78"/>
    <w:rsid w:val="6083723A"/>
    <w:rsid w:val="62033EB7"/>
    <w:rsid w:val="637449DE"/>
    <w:rsid w:val="6501186F"/>
    <w:rsid w:val="66DB718F"/>
    <w:rsid w:val="679A2E87"/>
    <w:rsid w:val="67AB6895"/>
    <w:rsid w:val="68D921A8"/>
    <w:rsid w:val="69D42C8A"/>
    <w:rsid w:val="6A7841D9"/>
    <w:rsid w:val="6A8054B1"/>
    <w:rsid w:val="6B6D0362"/>
    <w:rsid w:val="6B993D4E"/>
    <w:rsid w:val="6CD602B7"/>
    <w:rsid w:val="6ED41A9E"/>
    <w:rsid w:val="6F625D9B"/>
    <w:rsid w:val="6FAF562B"/>
    <w:rsid w:val="71516D7F"/>
    <w:rsid w:val="722534BC"/>
    <w:rsid w:val="72911FF8"/>
    <w:rsid w:val="73FD78A0"/>
    <w:rsid w:val="755D5C19"/>
    <w:rsid w:val="759C7433"/>
    <w:rsid w:val="759F35B5"/>
    <w:rsid w:val="76617148"/>
    <w:rsid w:val="775411A4"/>
    <w:rsid w:val="77A52EB0"/>
    <w:rsid w:val="78C90C7E"/>
    <w:rsid w:val="78DB34C7"/>
    <w:rsid w:val="790D0CE1"/>
    <w:rsid w:val="798C1918"/>
    <w:rsid w:val="79A911D2"/>
    <w:rsid w:val="79CE5B8D"/>
    <w:rsid w:val="79F30046"/>
    <w:rsid w:val="7B113D19"/>
    <w:rsid w:val="7B130790"/>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3"/>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8"/>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50"/>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60"/>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5"/>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3"/>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4"/>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next w:val="1"/>
    <w:link w:val="42"/>
    <w:qFormat/>
    <w:uiPriority w:val="0"/>
    <w:pPr>
      <w:numPr>
        <w:ilvl w:val="4"/>
        <w:numId w:val="4"/>
      </w:numPr>
      <w:outlineLvl w:val="4"/>
    </w:pPr>
  </w:style>
  <w:style w:type="paragraph" w:customStyle="1" w:styleId="40">
    <w:name w:val="jp正文无缩进"/>
    <w:basedOn w:val="1"/>
    <w:link w:val="51"/>
    <w:qFormat/>
    <w:uiPriority w:val="0"/>
    <w:pPr>
      <w:ind w:firstLine="0" w:firstLineChars="0"/>
    </w:pPr>
    <w:rPr>
      <w:rFonts w:ascii="仿宋_GB2312" w:hAnsi="仿宋_GB2312"/>
    </w:rPr>
  </w:style>
  <w:style w:type="paragraph" w:customStyle="1" w:styleId="41">
    <w:name w:val="jp六级标题"/>
    <w:basedOn w:val="39"/>
    <w:next w:val="1"/>
    <w:qFormat/>
    <w:uiPriority w:val="0"/>
    <w:pPr>
      <w:numPr>
        <w:ilvl w:val="5"/>
      </w:numPr>
      <w:outlineLvl w:val="5"/>
    </w:pPr>
  </w:style>
  <w:style w:type="character" w:customStyle="1" w:styleId="42">
    <w:name w:val="jp五级标题 Char"/>
    <w:link w:val="39"/>
    <w:qFormat/>
    <w:uiPriority w:val="0"/>
  </w:style>
  <w:style w:type="character" w:customStyle="1" w:styleId="43">
    <w:name w:val="jp三级标题 Char"/>
    <w:link w:val="37"/>
    <w:qFormat/>
    <w:uiPriority w:val="0"/>
    <w:rPr>
      <w:rFonts w:ascii="黑体" w:hAnsi="黑体" w:eastAsia="黑体" w:cstheme="minorBidi"/>
      <w:b/>
      <w:sz w:val="32"/>
    </w:rPr>
  </w:style>
  <w:style w:type="character" w:customStyle="1" w:styleId="44">
    <w:name w:val="jp四级标题 Char"/>
    <w:link w:val="38"/>
    <w:qFormat/>
    <w:uiPriority w:val="0"/>
    <w:rPr>
      <w:rFonts w:eastAsia="黑体" w:asciiTheme="minorAscii" w:hAnsiTheme="minorAscii"/>
      <w:b/>
      <w:sz w:val="28"/>
    </w:rPr>
  </w:style>
  <w:style w:type="character" w:customStyle="1" w:styleId="45">
    <w:name w:val="jp二级标题 Char"/>
    <w:link w:val="35"/>
    <w:qFormat/>
    <w:uiPriority w:val="0"/>
    <w:rPr>
      <w:rFonts w:ascii="黑体" w:hAnsi="黑体" w:eastAsia="黑体"/>
      <w:b/>
      <w:sz w:val="36"/>
    </w:rPr>
  </w:style>
  <w:style w:type="paragraph" w:customStyle="1" w:styleId="46">
    <w:name w:val="jp表格"/>
    <w:qFormat/>
    <w:uiPriority w:val="0"/>
    <w:pPr>
      <w:jc w:val="center"/>
    </w:pPr>
    <w:rPr>
      <w:rFonts w:ascii="仿宋_GB2312" w:hAnsi="仿宋_GB2312" w:eastAsia="仿宋_GB2312" w:cs="仿宋_GB2312"/>
      <w:sz w:val="21"/>
      <w:szCs w:val="21"/>
    </w:rPr>
  </w:style>
  <w:style w:type="paragraph" w:customStyle="1" w:styleId="47">
    <w:name w:val="jp正文缩进"/>
    <w:link w:val="52"/>
    <w:qFormat/>
    <w:uiPriority w:val="0"/>
    <w:pPr>
      <w:ind w:firstLine="876" w:firstLineChars="200"/>
    </w:pPr>
    <w:rPr>
      <w:rFonts w:ascii="仿宋_GB2312" w:hAnsi="仿宋_GB2312" w:eastAsia="仿宋_GB2312" w:cstheme="minorBidi"/>
      <w:sz w:val="28"/>
    </w:rPr>
  </w:style>
  <w:style w:type="character" w:customStyle="1" w:styleId="48">
    <w:name w:val="标题 2 Char"/>
    <w:basedOn w:val="25"/>
    <w:link w:val="8"/>
    <w:qFormat/>
    <w:uiPriority w:val="9"/>
    <w:rPr>
      <w:rFonts w:ascii="Arial" w:hAnsi="Arial" w:eastAsia="黑体"/>
      <w:b/>
      <w:sz w:val="32"/>
    </w:rPr>
  </w:style>
  <w:style w:type="character" w:customStyle="1" w:styleId="49">
    <w:name w:val="Heading 3 Char"/>
    <w:basedOn w:val="25"/>
    <w:link w:val="9"/>
    <w:qFormat/>
    <w:uiPriority w:val="9"/>
    <w:rPr>
      <w:b/>
      <w:sz w:val="32"/>
    </w:rPr>
  </w:style>
  <w:style w:type="character" w:customStyle="1" w:styleId="50">
    <w:name w:val="标题 3 Char"/>
    <w:basedOn w:val="25"/>
    <w:link w:val="9"/>
    <w:qFormat/>
    <w:uiPriority w:val="9"/>
    <w:rPr>
      <w:rFonts w:ascii="Times New Roman" w:hAnsi="Times New Roman" w:eastAsia="仿宋_GB2312" w:cs="Times New Roman"/>
      <w:b/>
      <w:bCs/>
      <w:sz w:val="28"/>
      <w:szCs w:val="32"/>
    </w:rPr>
  </w:style>
  <w:style w:type="character" w:customStyle="1" w:styleId="51">
    <w:name w:val="jp正文无缩进 Char"/>
    <w:link w:val="40"/>
    <w:qFormat/>
    <w:uiPriority w:val="0"/>
    <w:rPr>
      <w:rFonts w:ascii="仿宋_GB2312" w:hAnsi="仿宋_GB2312" w:eastAsia="仿宋_GB2312"/>
      <w:sz w:val="28"/>
    </w:rPr>
  </w:style>
  <w:style w:type="character" w:customStyle="1" w:styleId="52">
    <w:name w:val="jp正文缩进 Char"/>
    <w:link w:val="47"/>
    <w:qFormat/>
    <w:uiPriority w:val="0"/>
    <w:rPr>
      <w:rFonts w:ascii="仿宋_GB2312" w:hAnsi="仿宋_GB2312" w:eastAsia="仿宋_GB2312" w:cstheme="minorBidi"/>
      <w:sz w:val="28"/>
    </w:rPr>
  </w:style>
  <w:style w:type="paragraph" w:customStyle="1" w:styleId="53">
    <w:name w:val="投标-正文"/>
    <w:basedOn w:val="1"/>
    <w:qFormat/>
    <w:uiPriority w:val="99"/>
    <w:pPr>
      <w:ind w:firstLine="200" w:firstLineChars="200"/>
      <w:jc w:val="left"/>
    </w:pPr>
    <w:rPr>
      <w:rFonts w:ascii="Times New Roman" w:hAnsi="Times New Roman"/>
      <w:sz w:val="28"/>
      <w:szCs w:val="28"/>
    </w:rPr>
  </w:style>
  <w:style w:type="paragraph" w:customStyle="1" w:styleId="5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6">
    <w:name w:val="List Paragraph"/>
    <w:basedOn w:val="1"/>
    <w:qFormat/>
    <w:uiPriority w:val="34"/>
    <w:pPr>
      <w:ind w:firstLine="420" w:firstLineChars="200"/>
    </w:pPr>
  </w:style>
  <w:style w:type="paragraph" w:customStyle="1" w:styleId="57">
    <w:name w:val="Code"/>
    <w:basedOn w:val="56"/>
    <w:qFormat/>
    <w:uiPriority w:val="0"/>
    <w:pPr>
      <w:shd w:val="clear" w:color="auto" w:fill="E7E6E6" w:themeFill="background2"/>
    </w:pPr>
    <w:rPr>
      <w:rFonts w:ascii="Consolas" w:hAnsi="Consolas"/>
      <w:sz w:val="16"/>
      <w:szCs w:val="16"/>
    </w:rPr>
  </w:style>
  <w:style w:type="paragraph" w:customStyle="1" w:styleId="58">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9">
    <w:name w:val="标题 4 Char"/>
    <w:link w:val="10"/>
    <w:qFormat/>
    <w:uiPriority w:val="0"/>
    <w:rPr>
      <w:rFonts w:ascii="Arial" w:hAnsi="Arial" w:eastAsia="黑体"/>
      <w:b/>
      <w:sz w:val="28"/>
    </w:rPr>
  </w:style>
  <w:style w:type="character" w:customStyle="1" w:styleId="60">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1">
    <w:name w:val="fontstyle01"/>
    <w:basedOn w:val="25"/>
    <w:qFormat/>
    <w:uiPriority w:val="0"/>
    <w:rPr>
      <w:rFonts w:hint="eastAsia" w:ascii="宋体" w:hAnsi="宋体" w:eastAsia="宋体" w:cs="宋体"/>
      <w:color w:val="000000"/>
      <w:sz w:val="22"/>
      <w:szCs w:val="22"/>
    </w:rPr>
  </w:style>
  <w:style w:type="paragraph" w:customStyle="1" w:styleId="62">
    <w:name w:val="投标-4级标题"/>
    <w:basedOn w:val="53"/>
    <w:next w:val="53"/>
    <w:qFormat/>
    <w:uiPriority w:val="99"/>
    <w:pPr>
      <w:numPr>
        <w:ilvl w:val="3"/>
        <w:numId w:val="6"/>
      </w:numPr>
      <w:ind w:firstLineChars="0"/>
      <w:outlineLvl w:val="3"/>
    </w:pPr>
  </w:style>
  <w:style w:type="character" w:customStyle="1" w:styleId="63">
    <w:name w:val="标题 1 Char"/>
    <w:link w:val="7"/>
    <w:qFormat/>
    <w:uiPriority w:val="0"/>
    <w:rPr>
      <w:rFonts w:asciiTheme="minorAscii" w:hAnsiTheme="minorAscii"/>
      <w:b/>
      <w:kern w:val="44"/>
      <w:sz w:val="44"/>
    </w:rPr>
  </w:style>
  <w:style w:type="paragraph" w:customStyle="1" w:styleId="64">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5">
    <w:name w:val="表"/>
    <w:basedOn w:val="1"/>
    <w:qFormat/>
    <w:uiPriority w:val="0"/>
    <w:pPr>
      <w:widowControl w:val="0"/>
      <w:spacing w:line="240" w:lineRule="auto"/>
      <w:jc w:val="center"/>
    </w:pPr>
    <w:rPr>
      <w:rFonts w:ascii="Times New Roman" w:hAnsi="Times New Roman" w:cs="Times New Roman"/>
      <w:sz w:val="18"/>
      <w:szCs w:val="24"/>
    </w:rPr>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 w:type="paragraph" w:customStyle="1" w:styleId="76">
    <w:name w:val="标准文件_一级条标题"/>
    <w:basedOn w:val="77"/>
    <w:next w:val="58"/>
    <w:qFormat/>
    <w:uiPriority w:val="0"/>
    <w:pPr>
      <w:numPr>
        <w:ilvl w:val="2"/>
      </w:numPr>
      <w:tabs>
        <w:tab w:val="left" w:pos="426"/>
      </w:tabs>
      <w:spacing w:beforeLines="0" w:afterLines="0"/>
      <w:outlineLvl w:val="2"/>
    </w:pPr>
    <w:rPr>
      <w:spacing w:val="2"/>
    </w:rPr>
  </w:style>
  <w:style w:type="paragraph" w:customStyle="1" w:styleId="77">
    <w:name w:val="标准文件_章标题"/>
    <w:next w:val="1"/>
    <w:qFormat/>
    <w:locked/>
    <w:uiPriority w:val="0"/>
    <w:pPr>
      <w:numPr>
        <w:ilvl w:val="1"/>
        <w:numId w:val="8"/>
      </w:num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2020-07-31T07:41:18Z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